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9F3" w:rsidRPr="005A5FD7" w:rsidRDefault="007E36E7" w:rsidP="005A5FD7">
      <w:pPr>
        <w:jc w:val="both"/>
        <w:rPr>
          <w:b/>
          <w:sz w:val="24"/>
          <w:szCs w:val="24"/>
        </w:rPr>
      </w:pPr>
      <w:r w:rsidRPr="005A5FD7">
        <w:rPr>
          <w:b/>
          <w:sz w:val="24"/>
          <w:szCs w:val="24"/>
        </w:rPr>
        <w:t>Proyecto:</w:t>
      </w:r>
      <w:r w:rsidRPr="005A5FD7">
        <w:rPr>
          <w:b/>
          <w:sz w:val="24"/>
          <w:szCs w:val="24"/>
        </w:rPr>
        <w:tab/>
        <w:t>Construcción de Capacidades Comerciales</w:t>
      </w:r>
    </w:p>
    <w:p w:rsidR="00E559F3" w:rsidRPr="00D81E3B" w:rsidRDefault="007E36E7" w:rsidP="005A5FD7">
      <w:pPr>
        <w:jc w:val="both"/>
      </w:pPr>
      <w:r w:rsidRPr="00D81E3B">
        <w:t>En cualquier bloque</w:t>
      </w:r>
      <w:r w:rsidR="00E559F3" w:rsidRPr="00D81E3B">
        <w:t xml:space="preserve"> internacional, </w:t>
      </w:r>
      <w:r w:rsidRPr="00D81E3B">
        <w:t xml:space="preserve">el </w:t>
      </w:r>
      <w:r w:rsidR="00E559F3" w:rsidRPr="00D81E3B">
        <w:t xml:space="preserve">comercio </w:t>
      </w:r>
      <w:r w:rsidRPr="00D81E3B">
        <w:t xml:space="preserve">es siempre </w:t>
      </w:r>
      <w:r w:rsidR="00E559F3" w:rsidRPr="00D81E3B">
        <w:t xml:space="preserve">un jugador importante </w:t>
      </w:r>
      <w:r w:rsidRPr="00D81E3B">
        <w:t>para</w:t>
      </w:r>
      <w:r w:rsidR="00E559F3" w:rsidRPr="00D81E3B">
        <w:t xml:space="preserve"> el éxito d</w:t>
      </w:r>
      <w:r w:rsidRPr="00D81E3B">
        <w:t>e cualquiera de las Asociación</w:t>
      </w:r>
      <w:r w:rsidR="00E559F3" w:rsidRPr="00D81E3B">
        <w:t xml:space="preserve">. </w:t>
      </w:r>
      <w:r w:rsidRPr="00D81E3B">
        <w:t>Es el caso de</w:t>
      </w:r>
      <w:r w:rsidR="00E559F3" w:rsidRPr="00D81E3B">
        <w:t xml:space="preserve"> la Asociación de Estados del Caribe (AEC), que desde sus inicios ha considerado </w:t>
      </w:r>
      <w:r w:rsidRPr="00D81E3B">
        <w:t xml:space="preserve">el </w:t>
      </w:r>
      <w:r w:rsidR="00E559F3" w:rsidRPr="00D81E3B">
        <w:t xml:space="preserve">comercio y </w:t>
      </w:r>
      <w:r w:rsidRPr="00D81E3B">
        <w:t xml:space="preserve">las </w:t>
      </w:r>
      <w:r w:rsidR="00E559F3" w:rsidRPr="00D81E3B">
        <w:t>negociaciones comerciales como un eje principal en la formación de relaciones sostenibles.</w:t>
      </w:r>
    </w:p>
    <w:p w:rsidR="00E559F3" w:rsidRPr="00D81E3B" w:rsidRDefault="00E559F3" w:rsidP="005A5FD7">
      <w:pPr>
        <w:jc w:val="both"/>
      </w:pPr>
      <w:r w:rsidRPr="00D81E3B">
        <w:t>El fortalecimiento de la capacidad y conocimiento en temas de comercio regional e internac</w:t>
      </w:r>
      <w:r w:rsidR="00225276" w:rsidRPr="00D81E3B">
        <w:t>ional es de gran importancia para</w:t>
      </w:r>
      <w:r w:rsidRPr="00D81E3B">
        <w:t xml:space="preserve"> la gran región del Caribe.</w:t>
      </w:r>
      <w:r w:rsidR="00225276" w:rsidRPr="00D81E3B">
        <w:t xml:space="preserve"> </w:t>
      </w:r>
      <w:r w:rsidRPr="00D81E3B">
        <w:t xml:space="preserve"> Muchos países de la región no poseen el capital humano capacitado necesario,</w:t>
      </w:r>
      <w:r w:rsidR="00225276" w:rsidRPr="00D81E3B">
        <w:t xml:space="preserve"> el</w:t>
      </w:r>
      <w:r w:rsidRPr="00D81E3B">
        <w:t xml:space="preserve"> conocimiento institucional y </w:t>
      </w:r>
      <w:r w:rsidR="00225276" w:rsidRPr="00D81E3B">
        <w:t xml:space="preserve">las </w:t>
      </w:r>
      <w:r w:rsidRPr="00D81E3B">
        <w:t>capacidades necesarias para participar adecuada y eficaz</w:t>
      </w:r>
      <w:r w:rsidR="00225276" w:rsidRPr="00D81E3B">
        <w:t>mente</w:t>
      </w:r>
      <w:r w:rsidRPr="00D81E3B">
        <w:t xml:space="preserve"> dentro del sistema comercial internacional.</w:t>
      </w:r>
    </w:p>
    <w:p w:rsidR="00E559F3" w:rsidRPr="00D81E3B" w:rsidRDefault="00E559F3" w:rsidP="005A5FD7">
      <w:pPr>
        <w:jc w:val="both"/>
      </w:pPr>
      <w:r w:rsidRPr="00D81E3B">
        <w:t>La necesidad inmediata es por lo tanto, el desarrollo de estrategias para c</w:t>
      </w:r>
      <w:r w:rsidR="00225276" w:rsidRPr="00D81E3B">
        <w:t>rear una plataforma E-</w:t>
      </w:r>
      <w:proofErr w:type="spellStart"/>
      <w:r w:rsidR="00225276" w:rsidRPr="00D81E3B">
        <w:t>learning</w:t>
      </w:r>
      <w:proofErr w:type="spellEnd"/>
      <w:r w:rsidR="00225276" w:rsidRPr="00D81E3B">
        <w:t xml:space="preserve">, </w:t>
      </w:r>
      <w:proofErr w:type="spellStart"/>
      <w:r w:rsidR="00225276" w:rsidRPr="00D81E3B">
        <w:t>Webinars</w:t>
      </w:r>
      <w:proofErr w:type="spellEnd"/>
      <w:r w:rsidR="00225276" w:rsidRPr="00D81E3B">
        <w:t xml:space="preserve"> y</w:t>
      </w:r>
      <w:r w:rsidRPr="00D81E3B">
        <w:t xml:space="preserve"> la oferta de cursos y seminar</w:t>
      </w:r>
      <w:r w:rsidR="00225276" w:rsidRPr="00D81E3B">
        <w:t>ios han sido considerados por parte de la</w:t>
      </w:r>
      <w:r w:rsidRPr="00D81E3B">
        <w:t xml:space="preserve"> </w:t>
      </w:r>
      <w:r w:rsidR="00225276" w:rsidRPr="00D81E3B">
        <w:t>Dirección de Desarrollo de C</w:t>
      </w:r>
      <w:r w:rsidRPr="00D81E3B">
        <w:t xml:space="preserve">omercio y </w:t>
      </w:r>
      <w:r w:rsidR="00225276" w:rsidRPr="00D81E3B">
        <w:t>Relaciones Económicas E</w:t>
      </w:r>
      <w:r w:rsidRPr="00D81E3B">
        <w:t xml:space="preserve">xteriores, como una de las modalidades más convenientes de la transferencia de conocimiento y fortalecimiento de capacidades para los </w:t>
      </w:r>
      <w:r w:rsidR="00225276" w:rsidRPr="00D81E3B">
        <w:t>Estados Miembros y Miembros A</w:t>
      </w:r>
      <w:r w:rsidRPr="00D81E3B">
        <w:t>sociados de la AEC.</w:t>
      </w:r>
    </w:p>
    <w:p w:rsidR="00E559F3" w:rsidRPr="00D81E3B" w:rsidRDefault="00225276" w:rsidP="005A5FD7">
      <w:pPr>
        <w:jc w:val="both"/>
      </w:pPr>
      <w:r w:rsidRPr="00D81E3B">
        <w:t>Como complemento a esto, se debe</w:t>
      </w:r>
      <w:r w:rsidR="00E559F3" w:rsidRPr="00D81E3B">
        <w:t xml:space="preserve"> aumentar el conocimiento y entendimiento de los acuerdos comerciales existentes, los beneficios y las estrategias para tomar ventaja de estos</w:t>
      </w:r>
      <w:r w:rsidRPr="00D81E3B">
        <w:t xml:space="preserve"> instrumentos, que fomenten mejores </w:t>
      </w:r>
      <w:r w:rsidR="00E559F3" w:rsidRPr="00D81E3B">
        <w:t xml:space="preserve">habilidades analíticas y </w:t>
      </w:r>
      <w:r w:rsidRPr="00D81E3B">
        <w:t>de negociación y puedan</w:t>
      </w:r>
      <w:r w:rsidR="00E559F3" w:rsidRPr="00D81E3B">
        <w:t xml:space="preserve"> ser muy útil</w:t>
      </w:r>
      <w:r w:rsidRPr="00D81E3B">
        <w:t>es</w:t>
      </w:r>
      <w:r w:rsidR="00E559F3" w:rsidRPr="00D81E3B">
        <w:t xml:space="preserve"> para abordar cuestiones de política comercial </w:t>
      </w:r>
      <w:r w:rsidRPr="00D81E3B">
        <w:t>prioritarias</w:t>
      </w:r>
      <w:r w:rsidR="00E559F3" w:rsidRPr="00D81E3B">
        <w:t xml:space="preserve"> en todos los niveles – nacionales, regionales, subregionales e internacionales.</w:t>
      </w:r>
    </w:p>
    <w:p w:rsidR="00E559F3" w:rsidRDefault="00E559F3" w:rsidP="005A5FD7">
      <w:pPr>
        <w:jc w:val="both"/>
      </w:pPr>
      <w:r w:rsidRPr="00D81E3B">
        <w:t>El factor de éxito en las negociaciones comerciales también será impactado por el uso eficaz de la información y documentación sobre cuestiones relacionada</w:t>
      </w:r>
      <w:r w:rsidR="00225276" w:rsidRPr="00D81E3B">
        <w:t>s con el comercio vía internet,</w:t>
      </w:r>
      <w:r w:rsidRPr="00D81E3B">
        <w:t xml:space="preserve"> la OMC y el CCI.</w:t>
      </w:r>
    </w:p>
    <w:p w:rsidR="00D81E3B" w:rsidRPr="00D81E3B" w:rsidRDefault="00D81E3B" w:rsidP="005A5FD7">
      <w:pPr>
        <w:jc w:val="both"/>
      </w:pPr>
      <w:r>
        <w:rPr>
          <w:noProof/>
          <w:lang w:eastAsia="es-ES_tradnl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7F86C9CC" wp14:editId="70F888EC">
                <wp:simplePos x="0" y="0"/>
                <wp:positionH relativeFrom="page">
                  <wp:posOffset>571500</wp:posOffset>
                </wp:positionH>
                <wp:positionV relativeFrom="paragraph">
                  <wp:posOffset>337820</wp:posOffset>
                </wp:positionV>
                <wp:extent cx="6334125" cy="4200525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20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7AF" w:rsidRPr="007077AF" w:rsidRDefault="007077AF" w:rsidP="007077A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7077AF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Objetivo general:</w:t>
                            </w: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 xml:space="preserve">   Promover la creación de capacidad en las negociaciones comerciales y otros temas relevantes relacionados con el comercio, los Estados Miembros y Miembros Asociados de la AEC, a través de seminarios, cursos online y seminarios web especializados. </w:t>
                            </w:r>
                          </w:p>
                          <w:p w:rsidR="007077AF" w:rsidRPr="007077AF" w:rsidRDefault="007077AF" w:rsidP="007077A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</w:p>
                          <w:p w:rsidR="00D81E3B" w:rsidRPr="007077AF" w:rsidRDefault="007077AF" w:rsidP="007077A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7077AF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Objetivos Específicos:</w:t>
                            </w:r>
                          </w:p>
                          <w:p w:rsidR="007077AF" w:rsidRPr="007077AF" w:rsidRDefault="007077AF" w:rsidP="007077A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05" w:hanging="705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•</w:t>
                            </w: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ab/>
                              <w:t xml:space="preserve">Desarrollar una buena comprensión de todos los aspectos del sistema de comercio internacional, incluyendo la negociación de acuerdos de libre comercio, y una mejor integración en las iniciativas del sistema de globalización y multilaterales relacionados con el comercio. </w:t>
                            </w:r>
                          </w:p>
                          <w:p w:rsidR="007077AF" w:rsidRPr="007077AF" w:rsidRDefault="007077AF" w:rsidP="007077A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05" w:hanging="705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•</w:t>
                            </w: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ab/>
                              <w:t xml:space="preserve">Aumentar el conocimiento y la comprensión de los acuerdos existentes de comercio, sus beneficios y cómo se aprovechan de estos instrumentos </w:t>
                            </w:r>
                          </w:p>
                          <w:p w:rsidR="007077AF" w:rsidRPr="007077AF" w:rsidRDefault="007077AF" w:rsidP="007077A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•</w:t>
                            </w: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ab/>
                              <w:t>(</w:t>
                            </w:r>
                            <w:proofErr w:type="gramStart"/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mejoramiento</w:t>
                            </w:r>
                            <w:proofErr w:type="gramEnd"/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 xml:space="preserve"> de habilidades) Habilidades analíticas y de negociación mejorado; </w:t>
                            </w:r>
                          </w:p>
                          <w:p w:rsidR="007077AF" w:rsidRPr="007077AF" w:rsidRDefault="007077AF" w:rsidP="007077A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05" w:hanging="705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•</w:t>
                            </w: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ab/>
                              <w:t>Aprender a utilizar eficazmente la información y documentación sobre temas relacionados con el comercio en Internet (CCI, la OMC, etc</w:t>
                            </w:r>
                            <w:r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.</w:t>
                            </w:r>
                            <w:bookmarkStart w:id="0" w:name="_GoBack"/>
                            <w:bookmarkEnd w:id="0"/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  <w:p w:rsidR="007077AF" w:rsidRPr="007077AF" w:rsidRDefault="007077AF" w:rsidP="007077A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•</w:t>
                            </w: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ab/>
                              <w:t xml:space="preserve">Fortalecer la capacidad de trabajar en equipo y en un entorno internacional; </w:t>
                            </w:r>
                          </w:p>
                          <w:p w:rsidR="007077AF" w:rsidRPr="007077AF" w:rsidRDefault="007077AF" w:rsidP="007077A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•</w:t>
                            </w: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ab/>
                              <w:t xml:space="preserve">Establecer y / o fortalecer una red de contactos con los participantes y los instructores / expertos (red). </w:t>
                            </w:r>
                          </w:p>
                          <w:p w:rsidR="007077AF" w:rsidRPr="007077AF" w:rsidRDefault="007077AF" w:rsidP="007077A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05" w:hanging="705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•</w:t>
                            </w: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ab/>
                              <w:t xml:space="preserve">Fortalecer y mejorar la capacidad institucional y humana en el ámbito de las restricciones comerciales y de dirección; </w:t>
                            </w:r>
                          </w:p>
                          <w:p w:rsidR="007077AF" w:rsidRPr="007077AF" w:rsidRDefault="007077AF" w:rsidP="007077A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05" w:hanging="705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•</w:t>
                            </w: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ab/>
                              <w:t xml:space="preserve">Abordar las cuestiones sobre las políticas comerciales de prioridad en todos los niveles (nacional, regional, subregional e internacional); </w:t>
                            </w:r>
                          </w:p>
                          <w:p w:rsidR="007077AF" w:rsidRPr="007077AF" w:rsidRDefault="007077AF" w:rsidP="007077A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•</w:t>
                            </w: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ab/>
                              <w:t xml:space="preserve">participar plenamente en las negociaciones comerciales </w:t>
                            </w:r>
                          </w:p>
                          <w:p w:rsidR="007077AF" w:rsidRPr="00D81E3B" w:rsidRDefault="007077AF" w:rsidP="007077AF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•</w:t>
                            </w:r>
                            <w:r w:rsidRPr="007077AF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ab/>
                              <w:t>Analizar el impacto de las opciones de política comercial alternativa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86C9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pt;margin-top:26.6pt;width:498.75pt;height:330.75pt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" filled="f" stroked="f">
                <v:textbox>
                  <w:txbxContent>
                    <w:p w:rsidR="007077AF" w:rsidRPr="007077AF" w:rsidRDefault="007077AF" w:rsidP="007077A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7077AF">
                        <w:rPr>
                          <w:b/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Objetivo general:</w:t>
                      </w: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 xml:space="preserve">   Promover la creación de capacidad en las negociaciones comerciales y otros temas relevantes relacionados con el comercio, los Estados Miembros y Miembros Asociados de la AEC, a través de seminarios, cursos online y seminarios web especializados. </w:t>
                      </w:r>
                    </w:p>
                    <w:p w:rsidR="007077AF" w:rsidRPr="007077AF" w:rsidRDefault="007077AF" w:rsidP="007077A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</w:p>
                    <w:p w:rsidR="00D81E3B" w:rsidRPr="007077AF" w:rsidRDefault="007077AF" w:rsidP="007077A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b/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7077AF">
                        <w:rPr>
                          <w:b/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Objetivos Específicos:</w:t>
                      </w:r>
                    </w:p>
                    <w:p w:rsidR="007077AF" w:rsidRPr="007077AF" w:rsidRDefault="007077AF" w:rsidP="007077A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05" w:hanging="705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•</w:t>
                      </w: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ab/>
                        <w:t xml:space="preserve">Desarrollar una buena comprensión de todos los aspectos del sistema de comercio internacional, incluyendo la negociación de acuerdos de libre comercio, y una mejor integración en las iniciativas del sistema de globalización y multilaterales relacionados con el comercio. </w:t>
                      </w:r>
                    </w:p>
                    <w:p w:rsidR="007077AF" w:rsidRPr="007077AF" w:rsidRDefault="007077AF" w:rsidP="007077A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05" w:hanging="705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•</w:t>
                      </w: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ab/>
                        <w:t xml:space="preserve">Aumentar el conocimiento y la comprensión de los acuerdos existentes de comercio, sus beneficios y cómo se aprovechan de estos instrumentos </w:t>
                      </w:r>
                    </w:p>
                    <w:p w:rsidR="007077AF" w:rsidRPr="007077AF" w:rsidRDefault="007077AF" w:rsidP="007077A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•</w:t>
                      </w: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ab/>
                        <w:t>(</w:t>
                      </w:r>
                      <w:proofErr w:type="gramStart"/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mejoramiento</w:t>
                      </w:r>
                      <w:proofErr w:type="gramEnd"/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 xml:space="preserve"> de habilidades) Habilidades analíticas y de negociación mejorado; </w:t>
                      </w:r>
                    </w:p>
                    <w:p w:rsidR="007077AF" w:rsidRPr="007077AF" w:rsidRDefault="007077AF" w:rsidP="007077A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05" w:hanging="705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•</w:t>
                      </w: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ab/>
                        <w:t>Aprender a utilizar eficazmente la información y documentación sobre temas relacionados con el comercio en Internet (CCI, la OMC, etc</w:t>
                      </w:r>
                      <w:r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.</w:t>
                      </w:r>
                      <w:bookmarkStart w:id="1" w:name="_GoBack"/>
                      <w:bookmarkEnd w:id="1"/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 xml:space="preserve">) </w:t>
                      </w:r>
                    </w:p>
                    <w:p w:rsidR="007077AF" w:rsidRPr="007077AF" w:rsidRDefault="007077AF" w:rsidP="007077A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•</w:t>
                      </w: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ab/>
                        <w:t xml:space="preserve">Fortalecer la capacidad de trabajar en equipo y en un entorno internacional; </w:t>
                      </w:r>
                    </w:p>
                    <w:p w:rsidR="007077AF" w:rsidRPr="007077AF" w:rsidRDefault="007077AF" w:rsidP="007077A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•</w:t>
                      </w: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ab/>
                        <w:t xml:space="preserve">Establecer y / o fortalecer una red de contactos con los participantes y los instructores / expertos (red). </w:t>
                      </w:r>
                    </w:p>
                    <w:p w:rsidR="007077AF" w:rsidRPr="007077AF" w:rsidRDefault="007077AF" w:rsidP="007077A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05" w:hanging="705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•</w:t>
                      </w: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ab/>
                        <w:t xml:space="preserve">Fortalecer y mejorar la capacidad institucional y humana en el ámbito de las restricciones comerciales y de dirección; </w:t>
                      </w:r>
                    </w:p>
                    <w:p w:rsidR="007077AF" w:rsidRPr="007077AF" w:rsidRDefault="007077AF" w:rsidP="007077A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05" w:hanging="705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•</w:t>
                      </w: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ab/>
                        <w:t xml:space="preserve">Abordar las cuestiones sobre las políticas comerciales de prioridad en todos los niveles (nacional, regional, subregional e internacional); </w:t>
                      </w:r>
                    </w:p>
                    <w:p w:rsidR="007077AF" w:rsidRPr="007077AF" w:rsidRDefault="007077AF" w:rsidP="007077A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•</w:t>
                      </w: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ab/>
                        <w:t xml:space="preserve">participar plenamente en las negociaciones comerciales </w:t>
                      </w:r>
                    </w:p>
                    <w:p w:rsidR="007077AF" w:rsidRPr="00D81E3B" w:rsidRDefault="007077AF" w:rsidP="007077AF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•</w:t>
                      </w:r>
                      <w:r w:rsidRPr="007077AF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ab/>
                        <w:t>Analizar el impacto de las opciones de política comercial alternativa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D81E3B" w:rsidRPr="00D81E3B" w:rsidSect="00D81E3B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F3"/>
    <w:rsid w:val="00000691"/>
    <w:rsid w:val="000050E0"/>
    <w:rsid w:val="00040CFC"/>
    <w:rsid w:val="00053E47"/>
    <w:rsid w:val="000548DA"/>
    <w:rsid w:val="00060AB6"/>
    <w:rsid w:val="0006115B"/>
    <w:rsid w:val="0007539E"/>
    <w:rsid w:val="000A428B"/>
    <w:rsid w:val="000C0EFB"/>
    <w:rsid w:val="000E6313"/>
    <w:rsid w:val="00110CF0"/>
    <w:rsid w:val="001349B9"/>
    <w:rsid w:val="00144B3E"/>
    <w:rsid w:val="00147F82"/>
    <w:rsid w:val="00154A83"/>
    <w:rsid w:val="0015750D"/>
    <w:rsid w:val="00171391"/>
    <w:rsid w:val="001908AF"/>
    <w:rsid w:val="001961A1"/>
    <w:rsid w:val="001A4D00"/>
    <w:rsid w:val="001A739D"/>
    <w:rsid w:val="001A7926"/>
    <w:rsid w:val="001B2A39"/>
    <w:rsid w:val="001C58B5"/>
    <w:rsid w:val="001C6CDB"/>
    <w:rsid w:val="001D02CF"/>
    <w:rsid w:val="0022074B"/>
    <w:rsid w:val="00225276"/>
    <w:rsid w:val="0024031C"/>
    <w:rsid w:val="00251F97"/>
    <w:rsid w:val="00257E56"/>
    <w:rsid w:val="00262421"/>
    <w:rsid w:val="00263D7C"/>
    <w:rsid w:val="00273B15"/>
    <w:rsid w:val="00297934"/>
    <w:rsid w:val="002A6E1A"/>
    <w:rsid w:val="002C3BCA"/>
    <w:rsid w:val="002D054F"/>
    <w:rsid w:val="002D772A"/>
    <w:rsid w:val="00311CFA"/>
    <w:rsid w:val="00322536"/>
    <w:rsid w:val="00326A5A"/>
    <w:rsid w:val="00342EB9"/>
    <w:rsid w:val="003608C8"/>
    <w:rsid w:val="00362903"/>
    <w:rsid w:val="00392BB2"/>
    <w:rsid w:val="00397EDE"/>
    <w:rsid w:val="003B6866"/>
    <w:rsid w:val="003E7DF7"/>
    <w:rsid w:val="003F73B0"/>
    <w:rsid w:val="00402BC6"/>
    <w:rsid w:val="00415183"/>
    <w:rsid w:val="00422599"/>
    <w:rsid w:val="00426E2E"/>
    <w:rsid w:val="004315A6"/>
    <w:rsid w:val="00446544"/>
    <w:rsid w:val="00446BDF"/>
    <w:rsid w:val="00456EED"/>
    <w:rsid w:val="004672F5"/>
    <w:rsid w:val="00472055"/>
    <w:rsid w:val="004777F4"/>
    <w:rsid w:val="004B485F"/>
    <w:rsid w:val="004B6775"/>
    <w:rsid w:val="004B6D0C"/>
    <w:rsid w:val="004E36A7"/>
    <w:rsid w:val="004F226D"/>
    <w:rsid w:val="00505658"/>
    <w:rsid w:val="0050667F"/>
    <w:rsid w:val="00515E49"/>
    <w:rsid w:val="00557A30"/>
    <w:rsid w:val="005932B1"/>
    <w:rsid w:val="005A5FD7"/>
    <w:rsid w:val="005A746C"/>
    <w:rsid w:val="00605EA4"/>
    <w:rsid w:val="00607B3C"/>
    <w:rsid w:val="00635E00"/>
    <w:rsid w:val="0066399C"/>
    <w:rsid w:val="00663B8A"/>
    <w:rsid w:val="00664CC2"/>
    <w:rsid w:val="00672B9B"/>
    <w:rsid w:val="00690438"/>
    <w:rsid w:val="0069643D"/>
    <w:rsid w:val="006C426D"/>
    <w:rsid w:val="006E2FCE"/>
    <w:rsid w:val="006F197F"/>
    <w:rsid w:val="007077AF"/>
    <w:rsid w:val="00723C51"/>
    <w:rsid w:val="007456FA"/>
    <w:rsid w:val="00750B7D"/>
    <w:rsid w:val="00756645"/>
    <w:rsid w:val="00764BFC"/>
    <w:rsid w:val="00764F3C"/>
    <w:rsid w:val="007667CC"/>
    <w:rsid w:val="0077209A"/>
    <w:rsid w:val="00784014"/>
    <w:rsid w:val="00785051"/>
    <w:rsid w:val="00797122"/>
    <w:rsid w:val="007B30BE"/>
    <w:rsid w:val="007B3CEF"/>
    <w:rsid w:val="007B78AF"/>
    <w:rsid w:val="007C5EBA"/>
    <w:rsid w:val="007D6EF5"/>
    <w:rsid w:val="007D7ECE"/>
    <w:rsid w:val="007E36E7"/>
    <w:rsid w:val="00801402"/>
    <w:rsid w:val="00815DF9"/>
    <w:rsid w:val="0083359F"/>
    <w:rsid w:val="00834021"/>
    <w:rsid w:val="00852951"/>
    <w:rsid w:val="00855860"/>
    <w:rsid w:val="008704D2"/>
    <w:rsid w:val="00893243"/>
    <w:rsid w:val="008A7801"/>
    <w:rsid w:val="008B4DFC"/>
    <w:rsid w:val="008E2FDF"/>
    <w:rsid w:val="008E38D5"/>
    <w:rsid w:val="008E3B73"/>
    <w:rsid w:val="008F6FC8"/>
    <w:rsid w:val="00900897"/>
    <w:rsid w:val="00922914"/>
    <w:rsid w:val="0092401D"/>
    <w:rsid w:val="009269B8"/>
    <w:rsid w:val="009279ED"/>
    <w:rsid w:val="00953282"/>
    <w:rsid w:val="00953FEE"/>
    <w:rsid w:val="00956E44"/>
    <w:rsid w:val="009713A3"/>
    <w:rsid w:val="00990CAE"/>
    <w:rsid w:val="009956A8"/>
    <w:rsid w:val="009A030D"/>
    <w:rsid w:val="009A5E17"/>
    <w:rsid w:val="009B3E6F"/>
    <w:rsid w:val="009E34B5"/>
    <w:rsid w:val="009E40FF"/>
    <w:rsid w:val="009F1C00"/>
    <w:rsid w:val="00A027F2"/>
    <w:rsid w:val="00A047FE"/>
    <w:rsid w:val="00A04C5C"/>
    <w:rsid w:val="00A22613"/>
    <w:rsid w:val="00A415D4"/>
    <w:rsid w:val="00A56EDD"/>
    <w:rsid w:val="00A64BE8"/>
    <w:rsid w:val="00A66CFC"/>
    <w:rsid w:val="00A6730A"/>
    <w:rsid w:val="00A674C3"/>
    <w:rsid w:val="00A677E1"/>
    <w:rsid w:val="00A7770C"/>
    <w:rsid w:val="00A80560"/>
    <w:rsid w:val="00A8400A"/>
    <w:rsid w:val="00A96E3C"/>
    <w:rsid w:val="00AB1FC5"/>
    <w:rsid w:val="00AD5426"/>
    <w:rsid w:val="00AE51CB"/>
    <w:rsid w:val="00B123A1"/>
    <w:rsid w:val="00B14B34"/>
    <w:rsid w:val="00B165ED"/>
    <w:rsid w:val="00B2288D"/>
    <w:rsid w:val="00B24134"/>
    <w:rsid w:val="00B27383"/>
    <w:rsid w:val="00B3785D"/>
    <w:rsid w:val="00B62FEF"/>
    <w:rsid w:val="00B9782C"/>
    <w:rsid w:val="00BA2DD4"/>
    <w:rsid w:val="00BA67CA"/>
    <w:rsid w:val="00BC058E"/>
    <w:rsid w:val="00BD2827"/>
    <w:rsid w:val="00BD542F"/>
    <w:rsid w:val="00BE16C8"/>
    <w:rsid w:val="00BE3704"/>
    <w:rsid w:val="00C06F5A"/>
    <w:rsid w:val="00C11B7C"/>
    <w:rsid w:val="00C40AFF"/>
    <w:rsid w:val="00C532D3"/>
    <w:rsid w:val="00C53669"/>
    <w:rsid w:val="00C62018"/>
    <w:rsid w:val="00C65D8C"/>
    <w:rsid w:val="00C741F2"/>
    <w:rsid w:val="00C7589D"/>
    <w:rsid w:val="00C76E3E"/>
    <w:rsid w:val="00C92EE9"/>
    <w:rsid w:val="00C93D1F"/>
    <w:rsid w:val="00CA40F7"/>
    <w:rsid w:val="00CD122E"/>
    <w:rsid w:val="00CE6B7C"/>
    <w:rsid w:val="00D173C9"/>
    <w:rsid w:val="00D22621"/>
    <w:rsid w:val="00D22A54"/>
    <w:rsid w:val="00D30CA9"/>
    <w:rsid w:val="00D47B4E"/>
    <w:rsid w:val="00D64297"/>
    <w:rsid w:val="00D71FA3"/>
    <w:rsid w:val="00D81E3B"/>
    <w:rsid w:val="00D91072"/>
    <w:rsid w:val="00D93619"/>
    <w:rsid w:val="00D938B1"/>
    <w:rsid w:val="00DB2B57"/>
    <w:rsid w:val="00DB5CBF"/>
    <w:rsid w:val="00DB6758"/>
    <w:rsid w:val="00DD0772"/>
    <w:rsid w:val="00DD68B5"/>
    <w:rsid w:val="00DE5C48"/>
    <w:rsid w:val="00E174F7"/>
    <w:rsid w:val="00E403DE"/>
    <w:rsid w:val="00E43706"/>
    <w:rsid w:val="00E559F3"/>
    <w:rsid w:val="00E61025"/>
    <w:rsid w:val="00E77C0E"/>
    <w:rsid w:val="00E921AF"/>
    <w:rsid w:val="00EA2803"/>
    <w:rsid w:val="00EB3DCA"/>
    <w:rsid w:val="00EC4897"/>
    <w:rsid w:val="00EF424F"/>
    <w:rsid w:val="00F01458"/>
    <w:rsid w:val="00F22AD5"/>
    <w:rsid w:val="00F243A0"/>
    <w:rsid w:val="00F5390E"/>
    <w:rsid w:val="00F61715"/>
    <w:rsid w:val="00F727C8"/>
    <w:rsid w:val="00F74330"/>
    <w:rsid w:val="00F82D77"/>
    <w:rsid w:val="00F917ED"/>
    <w:rsid w:val="00F97244"/>
    <w:rsid w:val="00FC3E54"/>
    <w:rsid w:val="00FD5C66"/>
    <w:rsid w:val="00FE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1A59FC-708F-4CF9-A390-AE18FFC2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Anabella Jacobs Cervantes</dc:creator>
  <cp:keywords/>
  <dc:description/>
  <cp:lastModifiedBy>Ingrid Anabella Jacobs Cervantes</cp:lastModifiedBy>
  <cp:revision>5</cp:revision>
  <dcterms:created xsi:type="dcterms:W3CDTF">2014-09-15T18:36:00Z</dcterms:created>
  <dcterms:modified xsi:type="dcterms:W3CDTF">2014-09-26T20:36:00Z</dcterms:modified>
</cp:coreProperties>
</file>